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74A2" w14:textId="77777777" w:rsidR="00F415EE" w:rsidRPr="005146B7" w:rsidRDefault="00F415EE" w:rsidP="00F415EE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5146B7">
        <w:rPr>
          <w:rFonts w:ascii="Arial" w:hAnsi="Arial" w:cs="Arial"/>
          <w:b/>
          <w:bCs/>
          <w:sz w:val="32"/>
          <w:szCs w:val="32"/>
        </w:rPr>
        <w:t>Linee guida per la concessione di contributi per l’organizzazione di convegni</w:t>
      </w:r>
    </w:p>
    <w:p w14:paraId="504626DE" w14:textId="77777777" w:rsidR="00373C64" w:rsidRPr="00824DEF" w:rsidRDefault="00373C64" w:rsidP="00824DEF">
      <w:pPr>
        <w:pStyle w:val="Default"/>
        <w:jc w:val="both"/>
      </w:pPr>
    </w:p>
    <w:p w14:paraId="2E4DFF72" w14:textId="77777777" w:rsidR="00373C64" w:rsidRPr="005146B7" w:rsidRDefault="00373C64" w:rsidP="00824D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5146B7">
        <w:rPr>
          <w:rFonts w:ascii="Arial" w:hAnsi="Arial" w:cs="Arial"/>
          <w:b/>
          <w:bCs/>
          <w:i/>
          <w:sz w:val="23"/>
          <w:szCs w:val="23"/>
        </w:rPr>
        <w:t>Finalità</w:t>
      </w:r>
    </w:p>
    <w:p w14:paraId="014D885E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Le presenti linee di indirizzo disciplinano le richieste di contributo per convegni a valenza internazionale o aventi il carattere della straordinarietà o per altre iniziative di rilevante interesse scientifico finalizzate alla diffusione della cultura scientifica, dalle quali possa derivare prestigio e ritorno di immagine per l'Ateneo. </w:t>
      </w:r>
    </w:p>
    <w:p w14:paraId="16752A5C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7E6C558" w14:textId="77777777" w:rsidR="00373C64" w:rsidRPr="005146B7" w:rsidRDefault="00373C64" w:rsidP="00824D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5146B7">
        <w:rPr>
          <w:rFonts w:ascii="Arial" w:hAnsi="Arial" w:cs="Arial"/>
          <w:b/>
          <w:bCs/>
          <w:i/>
          <w:sz w:val="23"/>
          <w:szCs w:val="23"/>
        </w:rPr>
        <w:t>Premesse generali</w:t>
      </w:r>
    </w:p>
    <w:p w14:paraId="5B2D8F9B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>Le presenti linee guida sono definite in accordo con quanto previsto dall’Ateneo per la richiesta di contributi straordinari per convegni a valenza internazionale e iniziative di rilevante interesse per la diffusione della cultura scientifica.</w:t>
      </w:r>
    </w:p>
    <w:p w14:paraId="7DEB0C34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D4015C9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b/>
          <w:bCs/>
          <w:i/>
          <w:iCs/>
          <w:sz w:val="23"/>
          <w:szCs w:val="23"/>
        </w:rPr>
        <w:t xml:space="preserve">Aspetti generali </w:t>
      </w:r>
    </w:p>
    <w:p w14:paraId="5E909343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In fase di programmazione dell’utilizzo del budget integrato il Dipartimento dovrà definire il budget destinato a tali </w:t>
      </w:r>
      <w:r w:rsidR="000A33A2" w:rsidRPr="00F1148F">
        <w:rPr>
          <w:rFonts w:ascii="Arial" w:hAnsi="Arial" w:cs="Arial"/>
          <w:sz w:val="23"/>
          <w:szCs w:val="23"/>
        </w:rPr>
        <w:t>iniziativ</w:t>
      </w:r>
      <w:r w:rsidR="000A33A2">
        <w:rPr>
          <w:rFonts w:ascii="Arial" w:hAnsi="Arial" w:cs="Arial"/>
          <w:sz w:val="23"/>
          <w:szCs w:val="23"/>
        </w:rPr>
        <w:t>e</w:t>
      </w:r>
      <w:r w:rsidRPr="00F1148F">
        <w:rPr>
          <w:rFonts w:ascii="Arial" w:hAnsi="Arial" w:cs="Arial"/>
          <w:sz w:val="23"/>
          <w:szCs w:val="23"/>
        </w:rPr>
        <w:t xml:space="preserve">, le scadenze per la presentazione delle domande, le modalità di presentazione delle richieste, gli elementi che devono essere presenti nella domanda (nelle sezioni successive sono indicati gli elementi indispensabili), i criteri e le modalità di valutazione delle richieste. </w:t>
      </w:r>
    </w:p>
    <w:p w14:paraId="6B6E69F9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5E4603C" w14:textId="77777777" w:rsidR="00373C64" w:rsidRPr="00F1148F" w:rsidRDefault="00373C64" w:rsidP="009D5A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b/>
          <w:bCs/>
          <w:i/>
          <w:iCs/>
          <w:sz w:val="23"/>
          <w:szCs w:val="23"/>
        </w:rPr>
        <w:t xml:space="preserve">Scadenze per la presentazione delle domande e modalità per la presentazione delle richieste </w:t>
      </w:r>
    </w:p>
    <w:p w14:paraId="254C8B21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Di seguito sono riportate </w:t>
      </w:r>
      <w:r w:rsidR="0087176B">
        <w:rPr>
          <w:rFonts w:ascii="Arial" w:hAnsi="Arial" w:cs="Arial"/>
          <w:sz w:val="23"/>
          <w:szCs w:val="23"/>
        </w:rPr>
        <w:t xml:space="preserve">indicazioni per la definizione di </w:t>
      </w:r>
      <w:r w:rsidRPr="00F1148F">
        <w:rPr>
          <w:rFonts w:ascii="Arial" w:hAnsi="Arial" w:cs="Arial"/>
          <w:sz w:val="23"/>
          <w:szCs w:val="23"/>
        </w:rPr>
        <w:t>scadenze e modalità di presentazione delle richieste:</w:t>
      </w:r>
    </w:p>
    <w:p w14:paraId="048246B6" w14:textId="77777777" w:rsidR="00373C64" w:rsidRPr="00F1148F" w:rsidRDefault="00373C64" w:rsidP="005146B7">
      <w:pPr>
        <w:pStyle w:val="Default"/>
        <w:numPr>
          <w:ilvl w:val="0"/>
          <w:numId w:val="5"/>
        </w:numPr>
        <w:ind w:left="867" w:hanging="170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Di norma sarà emanato un solo bando per la presentazione delle domande per ogni anno solare. Il suddetto bando sarà pubblicato, di norma, nel mese di </w:t>
      </w:r>
      <w:proofErr w:type="gramStart"/>
      <w:r w:rsidRPr="00F1148F">
        <w:rPr>
          <w:rFonts w:ascii="Arial" w:hAnsi="Arial" w:cs="Arial"/>
          <w:sz w:val="23"/>
          <w:szCs w:val="23"/>
        </w:rPr>
        <w:t>Aprile</w:t>
      </w:r>
      <w:proofErr w:type="gramEnd"/>
      <w:r w:rsidRPr="00F1148F">
        <w:rPr>
          <w:rFonts w:ascii="Arial" w:hAnsi="Arial" w:cs="Arial"/>
          <w:sz w:val="23"/>
          <w:szCs w:val="23"/>
        </w:rPr>
        <w:t xml:space="preserve"> (nell’allegato 1 è riportato un facsimile).</w:t>
      </w:r>
    </w:p>
    <w:p w14:paraId="14DF5FCE" w14:textId="77777777" w:rsidR="00373C64" w:rsidRPr="00F1148F" w:rsidRDefault="00373C64" w:rsidP="005146B7">
      <w:pPr>
        <w:pStyle w:val="Default"/>
        <w:numPr>
          <w:ilvl w:val="0"/>
          <w:numId w:val="5"/>
        </w:numPr>
        <w:ind w:left="867" w:hanging="170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La modalità di presentazione delle richieste dovrà essere effettuata tramite </w:t>
      </w:r>
      <w:proofErr w:type="gramStart"/>
      <w:r w:rsidRPr="00F1148F">
        <w:rPr>
          <w:rFonts w:ascii="Arial" w:hAnsi="Arial" w:cs="Arial"/>
          <w:sz w:val="23"/>
          <w:szCs w:val="23"/>
        </w:rPr>
        <w:t>email</w:t>
      </w:r>
      <w:proofErr w:type="gramEnd"/>
      <w:r w:rsidRPr="00F1148F">
        <w:rPr>
          <w:rFonts w:ascii="Arial" w:hAnsi="Arial" w:cs="Arial"/>
          <w:sz w:val="23"/>
          <w:szCs w:val="23"/>
        </w:rPr>
        <w:t>, da indirizzare al Direttore del Dipartimento</w:t>
      </w:r>
    </w:p>
    <w:p w14:paraId="586B1157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E851697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In analogia con le altre voci che rientrano nel budget integrato, i richiedenti potranno indicare in domanda una struttura diversa da quella dipartimentale (ad esempio Poli, Centri interdipartimentali, ecc.) per la gestione del finanziamento. </w:t>
      </w:r>
    </w:p>
    <w:p w14:paraId="72C06C7A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B0E8B6A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b/>
          <w:bCs/>
          <w:i/>
          <w:iCs/>
          <w:sz w:val="23"/>
          <w:szCs w:val="23"/>
        </w:rPr>
        <w:t xml:space="preserve">Soggetti legittimati alla richiesta </w:t>
      </w:r>
    </w:p>
    <w:p w14:paraId="58074E87" w14:textId="77777777" w:rsidR="00373C64" w:rsidRPr="00F1148F" w:rsidRDefault="00373C64" w:rsidP="004D639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La richiesta di contributo può essere presentata, secondo i termini e con le modalità </w:t>
      </w:r>
      <w:r w:rsidR="0087176B">
        <w:rPr>
          <w:rFonts w:ascii="Arial" w:hAnsi="Arial" w:cs="Arial"/>
          <w:sz w:val="23"/>
          <w:szCs w:val="23"/>
        </w:rPr>
        <w:t>stabiliti dal bando</w:t>
      </w:r>
      <w:r w:rsidRPr="00F1148F">
        <w:rPr>
          <w:rFonts w:ascii="Arial" w:hAnsi="Arial" w:cs="Arial"/>
          <w:sz w:val="23"/>
          <w:szCs w:val="23"/>
        </w:rPr>
        <w:t>, da parte di docenti e ricercatori</w:t>
      </w:r>
      <w:r w:rsidR="0087176B">
        <w:rPr>
          <w:rFonts w:ascii="Arial" w:hAnsi="Arial" w:cs="Arial"/>
          <w:sz w:val="23"/>
          <w:szCs w:val="23"/>
        </w:rPr>
        <w:t xml:space="preserve"> del Dipartimento</w:t>
      </w:r>
      <w:r w:rsidRPr="00F1148F">
        <w:rPr>
          <w:rFonts w:ascii="Arial" w:hAnsi="Arial" w:cs="Arial"/>
          <w:sz w:val="23"/>
          <w:szCs w:val="23"/>
        </w:rPr>
        <w:t>, singoli o in gruppi. Le qualifiche dei soggetti ammessi alla presentazione della richiesta devono essere possedute alla scadenza del bando.</w:t>
      </w:r>
    </w:p>
    <w:p w14:paraId="2B5C75E6" w14:textId="77777777" w:rsidR="00373C64" w:rsidRPr="00F1148F" w:rsidRDefault="00373C64" w:rsidP="004D639D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523BEC4" w14:textId="77777777" w:rsidR="00373C64" w:rsidRPr="00F1148F" w:rsidRDefault="00373C64" w:rsidP="004D639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b/>
          <w:bCs/>
          <w:i/>
          <w:iCs/>
          <w:sz w:val="23"/>
          <w:szCs w:val="23"/>
        </w:rPr>
        <w:t xml:space="preserve">Requisiti della domanda </w:t>
      </w:r>
    </w:p>
    <w:p w14:paraId="175A2040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La richiesta di contributo deve essere corredata da una documentazione da cui risultino (nell’allegato </w:t>
      </w:r>
      <w:proofErr w:type="gramStart"/>
      <w:r w:rsidRPr="00F1148F">
        <w:rPr>
          <w:rFonts w:ascii="Arial" w:hAnsi="Arial" w:cs="Arial"/>
          <w:sz w:val="23"/>
          <w:szCs w:val="23"/>
        </w:rPr>
        <w:t>2</w:t>
      </w:r>
      <w:proofErr w:type="gramEnd"/>
      <w:r w:rsidRPr="00F1148F">
        <w:rPr>
          <w:rFonts w:ascii="Arial" w:hAnsi="Arial" w:cs="Arial"/>
          <w:sz w:val="23"/>
          <w:szCs w:val="23"/>
        </w:rPr>
        <w:t xml:space="preserve"> è riportato un facsimile per la richiesta di contributo): </w:t>
      </w:r>
    </w:p>
    <w:p w14:paraId="7793EFD1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data e luogo di effettuazione della manifestazione; </w:t>
      </w:r>
    </w:p>
    <w:p w14:paraId="01642A74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la descrizione dell’iniziativa, da cui risulti la valenza scientifica della stessa; </w:t>
      </w:r>
    </w:p>
    <w:p w14:paraId="7ABD4BA0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il carattere internazionale o straordinario del convegno; </w:t>
      </w:r>
    </w:p>
    <w:p w14:paraId="4B0B2EC3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la composizione del comitato scientifico; </w:t>
      </w:r>
    </w:p>
    <w:p w14:paraId="070DDAF7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lastRenderedPageBreak/>
        <w:t xml:space="preserve">- l’eventuale previsione della pubblicazione degli atti del convegno; </w:t>
      </w:r>
    </w:p>
    <w:p w14:paraId="3995ED54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il bilancio di previsione dell’iniziativa; </w:t>
      </w:r>
    </w:p>
    <w:p w14:paraId="47BE80D0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l’indicazione circa l’utilizzo previsto per i fondi richiesti, che dovrà riguardare essenzialmente gli aspetti organizzativi, la produzione di materiale di lavoro, la stampa degli atti e simili; </w:t>
      </w:r>
    </w:p>
    <w:p w14:paraId="72608879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l’eventuale cofinanziamento previsto da altre fonti, con l’indicazione delle risorse già disponibili e/o di quelle eventualmente acquisibili; </w:t>
      </w:r>
    </w:p>
    <w:p w14:paraId="7C606CC9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-informazioni in ordine agli eventuali sponsor. </w:t>
      </w:r>
    </w:p>
    <w:p w14:paraId="1A3A4B57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96906DF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b/>
          <w:bCs/>
          <w:i/>
          <w:iCs/>
          <w:sz w:val="23"/>
          <w:szCs w:val="23"/>
        </w:rPr>
        <w:t xml:space="preserve">Selezione delle domande </w:t>
      </w:r>
    </w:p>
    <w:p w14:paraId="5D3970AD" w14:textId="77777777" w:rsidR="00373C64" w:rsidRPr="00F1148F" w:rsidRDefault="00373C64" w:rsidP="009D5A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>La selezione delle varie domande è delegata alla Commissione Ricerca del Dipartimento che utilizzerà i seguenti criteri per la valutazione delle richieste:</w:t>
      </w:r>
    </w:p>
    <w:p w14:paraId="7FA48A9D" w14:textId="77777777" w:rsidR="00373C64" w:rsidRPr="00F1148F" w:rsidRDefault="00373C64" w:rsidP="009D5A57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i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>Valenza scientifica dell’iniziativa, punteggio massimo 3</w:t>
      </w:r>
    </w:p>
    <w:p w14:paraId="6666AD35" w14:textId="77777777" w:rsidR="00373C64" w:rsidRPr="00F1148F" w:rsidRDefault="00373C64" w:rsidP="009D5A57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Carattere internazionale o straordinario del convegno, punteggio massimo 3. </w:t>
      </w:r>
    </w:p>
    <w:p w14:paraId="0C0FB3FB" w14:textId="77777777" w:rsidR="00373C64" w:rsidRPr="00F1148F" w:rsidRDefault="00373C64" w:rsidP="009D5A57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>Bilancio di previsione dell’iniziativa. Saranno privilegiate le iniziative caratterizzate da ampia partecipazione, punteggio massimo 3</w:t>
      </w:r>
    </w:p>
    <w:p w14:paraId="517862F9" w14:textId="77777777" w:rsidR="00373C64" w:rsidRPr="00F1148F" w:rsidRDefault="00373C64" w:rsidP="009D5A57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Eventuali finanziamenti già goduti dai proponenti per la stessa tipologia di spesa. Saranno privilegiate le domande provenienti da gruppi non precedentemente finanziati per questa tipologia di spesa, punteggio massimo 3. </w:t>
      </w:r>
    </w:p>
    <w:p w14:paraId="1279CC8B" w14:textId="77777777" w:rsidR="00373C64" w:rsidRPr="00F1148F" w:rsidRDefault="00373C64" w:rsidP="009D5A57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>Congruità della richiesta di finanziamento richiesta, punteggio massimo 3</w:t>
      </w:r>
    </w:p>
    <w:p w14:paraId="65A89B0E" w14:textId="77777777" w:rsidR="00373C64" w:rsidRPr="00F1148F" w:rsidRDefault="00373C64" w:rsidP="00E066D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0514886" w14:textId="77777777" w:rsidR="00373C64" w:rsidRPr="00F1148F" w:rsidRDefault="00373C64" w:rsidP="00E066D0">
      <w:pPr>
        <w:pStyle w:val="Default"/>
        <w:jc w:val="both"/>
        <w:rPr>
          <w:rFonts w:ascii="Arial" w:hAnsi="Arial" w:cs="Arial"/>
          <w:bCs/>
          <w:iCs/>
          <w:sz w:val="23"/>
          <w:szCs w:val="23"/>
        </w:rPr>
      </w:pPr>
      <w:r w:rsidRPr="00F1148F">
        <w:rPr>
          <w:rFonts w:ascii="Arial" w:hAnsi="Arial" w:cs="Arial"/>
          <w:bCs/>
          <w:iCs/>
          <w:sz w:val="23"/>
          <w:szCs w:val="23"/>
        </w:rPr>
        <w:t>Saranno giudicate finanziabili le domande che abbiano raggiunto un punteggio maggiore o uguale a 10.</w:t>
      </w:r>
    </w:p>
    <w:p w14:paraId="1957E764" w14:textId="77777777" w:rsidR="00373C64" w:rsidRPr="00F1148F" w:rsidRDefault="00373C64" w:rsidP="00E066D0">
      <w:pPr>
        <w:pStyle w:val="Default"/>
        <w:jc w:val="both"/>
        <w:rPr>
          <w:rFonts w:ascii="Arial" w:hAnsi="Arial" w:cs="Arial"/>
          <w:bCs/>
          <w:iCs/>
          <w:sz w:val="23"/>
          <w:szCs w:val="23"/>
        </w:rPr>
      </w:pPr>
    </w:p>
    <w:p w14:paraId="5C54AF55" w14:textId="77777777" w:rsidR="00373C64" w:rsidRPr="00F1148F" w:rsidRDefault="00373C64" w:rsidP="00DF4B28">
      <w:pPr>
        <w:pStyle w:val="Default"/>
        <w:jc w:val="both"/>
        <w:rPr>
          <w:rFonts w:ascii="Arial" w:hAnsi="Arial" w:cs="Arial"/>
          <w:bCs/>
          <w:iCs/>
          <w:sz w:val="23"/>
          <w:szCs w:val="23"/>
        </w:rPr>
      </w:pPr>
      <w:r w:rsidRPr="003C6CFE">
        <w:rPr>
          <w:rFonts w:ascii="Arial" w:hAnsi="Arial" w:cs="Arial"/>
          <w:bCs/>
          <w:iCs/>
          <w:sz w:val="23"/>
          <w:szCs w:val="23"/>
        </w:rPr>
        <w:t>La proposta di suddivisione del budget sarà effettuata dalla Commissione Ricerca sulla base del punteggio raggiunto da ogni singola richiesta e sulla base dell’entità di finanziamento richiesto.</w:t>
      </w:r>
    </w:p>
    <w:p w14:paraId="37D73F13" w14:textId="77777777" w:rsidR="00373C64" w:rsidRPr="00F1148F" w:rsidRDefault="00373C64" w:rsidP="00DF4B28">
      <w:pPr>
        <w:pStyle w:val="Default"/>
        <w:jc w:val="both"/>
        <w:rPr>
          <w:rFonts w:ascii="Arial" w:hAnsi="Arial" w:cs="Arial"/>
          <w:bCs/>
          <w:iCs/>
          <w:sz w:val="23"/>
          <w:szCs w:val="23"/>
        </w:rPr>
      </w:pPr>
    </w:p>
    <w:p w14:paraId="579B84A8" w14:textId="77777777" w:rsidR="00373C64" w:rsidRPr="00F1148F" w:rsidRDefault="00373C64" w:rsidP="00DF4B28">
      <w:pPr>
        <w:pStyle w:val="Default"/>
        <w:jc w:val="both"/>
        <w:rPr>
          <w:rFonts w:ascii="Arial" w:hAnsi="Arial" w:cs="Arial"/>
          <w:bCs/>
          <w:iCs/>
          <w:sz w:val="23"/>
          <w:szCs w:val="23"/>
        </w:rPr>
      </w:pPr>
    </w:p>
    <w:p w14:paraId="043D0930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b/>
          <w:bCs/>
          <w:i/>
          <w:iCs/>
          <w:sz w:val="23"/>
          <w:szCs w:val="23"/>
        </w:rPr>
        <w:t xml:space="preserve">Utilizzo dei fondi </w:t>
      </w:r>
    </w:p>
    <w:p w14:paraId="349615FC" w14:textId="5F754F2C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61458">
        <w:rPr>
          <w:rFonts w:ascii="Arial" w:hAnsi="Arial" w:cs="Arial"/>
          <w:sz w:val="23"/>
          <w:szCs w:val="23"/>
        </w:rPr>
        <w:t>I contributi dovranno essere utilizzati entro il 3</w:t>
      </w:r>
      <w:r w:rsidR="000D07A9" w:rsidRPr="00561458">
        <w:rPr>
          <w:rFonts w:ascii="Arial" w:hAnsi="Arial" w:cs="Arial"/>
          <w:sz w:val="23"/>
          <w:szCs w:val="23"/>
        </w:rPr>
        <w:t>0</w:t>
      </w:r>
      <w:r w:rsidRPr="00561458">
        <w:rPr>
          <w:rFonts w:ascii="Arial" w:hAnsi="Arial" w:cs="Arial"/>
          <w:sz w:val="23"/>
          <w:szCs w:val="23"/>
        </w:rPr>
        <w:t xml:space="preserve"> </w:t>
      </w:r>
      <w:r w:rsidR="000D07A9" w:rsidRPr="00561458">
        <w:rPr>
          <w:rFonts w:ascii="Arial" w:hAnsi="Arial" w:cs="Arial"/>
          <w:sz w:val="23"/>
          <w:szCs w:val="23"/>
        </w:rPr>
        <w:t>settembre</w:t>
      </w:r>
      <w:r w:rsidR="004D0B1A" w:rsidRPr="00561458">
        <w:rPr>
          <w:rFonts w:ascii="Arial" w:hAnsi="Arial" w:cs="Arial"/>
          <w:sz w:val="23"/>
          <w:szCs w:val="23"/>
        </w:rPr>
        <w:t xml:space="preserve"> </w:t>
      </w:r>
      <w:r w:rsidRPr="00561458">
        <w:rPr>
          <w:rFonts w:ascii="Arial" w:hAnsi="Arial" w:cs="Arial"/>
          <w:sz w:val="23"/>
          <w:szCs w:val="23"/>
        </w:rPr>
        <w:t>dell'esercizio finanziario successivo alla</w:t>
      </w:r>
      <w:r w:rsidRPr="00F1148F">
        <w:rPr>
          <w:rFonts w:ascii="Arial" w:hAnsi="Arial" w:cs="Arial"/>
          <w:sz w:val="23"/>
          <w:szCs w:val="23"/>
        </w:rPr>
        <w:t xml:space="preserve"> delibera di assegnazione</w:t>
      </w:r>
      <w:r w:rsidR="005C72D6">
        <w:rPr>
          <w:rFonts w:ascii="Arial" w:hAnsi="Arial" w:cs="Arial"/>
          <w:sz w:val="23"/>
          <w:szCs w:val="23"/>
        </w:rPr>
        <w:t>, a meno di accordi specifici con l’Amministrazione del DICAM</w:t>
      </w:r>
      <w:r w:rsidRPr="00F1148F">
        <w:rPr>
          <w:rFonts w:ascii="Arial" w:hAnsi="Arial" w:cs="Arial"/>
          <w:sz w:val="23"/>
          <w:szCs w:val="23"/>
        </w:rPr>
        <w:t xml:space="preserve">. </w:t>
      </w:r>
    </w:p>
    <w:p w14:paraId="7CD62A14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3F1930AF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b/>
          <w:bCs/>
          <w:i/>
          <w:iCs/>
          <w:sz w:val="23"/>
          <w:szCs w:val="23"/>
        </w:rPr>
        <w:t xml:space="preserve">Rendicontazione </w:t>
      </w:r>
    </w:p>
    <w:p w14:paraId="446D874F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I proponenti dovranno tenere presente che il Dipartimento dovrà rendicontare l’uso dei finanziamenti erogati per la suddetta tipologia di spesa di norma entro l’esercizio finanziario successivo a quello di delibera del contributo, avvalendosi della procedura informatica che sarà predisposta a tal fine. Nel caso di convegni, tale termine potrà essere prorogato di un ulteriore anno per completare la documentazione. Il rendiconto dovrà comunque includere i seguenti elementi: </w:t>
      </w:r>
    </w:p>
    <w:p w14:paraId="38ECC475" w14:textId="359F5CCC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>- oggetto del contributo (es</w:t>
      </w:r>
      <w:r w:rsidR="004D0B1A">
        <w:rPr>
          <w:rFonts w:ascii="Arial" w:hAnsi="Arial" w:cs="Arial"/>
          <w:sz w:val="23"/>
          <w:szCs w:val="23"/>
        </w:rPr>
        <w:t>.</w:t>
      </w:r>
      <w:r w:rsidRPr="00F1148F">
        <w:rPr>
          <w:rFonts w:ascii="Arial" w:hAnsi="Arial" w:cs="Arial"/>
          <w:sz w:val="23"/>
          <w:szCs w:val="23"/>
        </w:rPr>
        <w:t xml:space="preserve"> convegno, seminari); </w:t>
      </w:r>
    </w:p>
    <w:p w14:paraId="6E397F6A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titolo dell’iniziativa; </w:t>
      </w:r>
    </w:p>
    <w:p w14:paraId="2ED9E737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beneficiario; </w:t>
      </w:r>
    </w:p>
    <w:p w14:paraId="7887FD6C" w14:textId="2C5805F1" w:rsidR="00373C64" w:rsidRPr="00F1148F" w:rsidRDefault="00373C64" w:rsidP="00824DE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1148F">
        <w:rPr>
          <w:rFonts w:ascii="Arial" w:hAnsi="Arial" w:cs="Arial"/>
          <w:sz w:val="23"/>
          <w:szCs w:val="23"/>
        </w:rPr>
        <w:t xml:space="preserve">- elementi di definizione dell’iniziativa (data e luogo di svolgimento di convegni e seminari; data e luogo di pubblicazione </w:t>
      </w:r>
      <w:proofErr w:type="gramStart"/>
      <w:r w:rsidRPr="00F1148F">
        <w:rPr>
          <w:rFonts w:ascii="Arial" w:hAnsi="Arial" w:cs="Arial"/>
          <w:sz w:val="23"/>
          <w:szCs w:val="23"/>
        </w:rPr>
        <w:t>ed</w:t>
      </w:r>
      <w:proofErr w:type="gramEnd"/>
      <w:r w:rsidRPr="00F1148F">
        <w:rPr>
          <w:rFonts w:ascii="Arial" w:hAnsi="Arial" w:cs="Arial"/>
          <w:sz w:val="23"/>
          <w:szCs w:val="23"/>
        </w:rPr>
        <w:t xml:space="preserve"> editore per le iniziative editoriali; comitato scientifico; ecc.). </w:t>
      </w:r>
    </w:p>
    <w:p w14:paraId="14120D46" w14:textId="77777777" w:rsidR="00373C64" w:rsidRPr="00F1148F" w:rsidRDefault="00373C64" w:rsidP="00824DEF">
      <w:pPr>
        <w:pStyle w:val="Default"/>
        <w:jc w:val="both"/>
        <w:rPr>
          <w:rFonts w:ascii="Arial" w:hAnsi="Arial" w:cs="Arial"/>
        </w:rPr>
      </w:pPr>
    </w:p>
    <w:p w14:paraId="139405C8" w14:textId="148EC16D" w:rsidR="003C6CFE" w:rsidRDefault="003C6CFE">
      <w:pPr>
        <w:rPr>
          <w:lang w:eastAsia="ar-SA"/>
        </w:rPr>
      </w:pPr>
    </w:p>
    <w:p w14:paraId="7A01ECCC" w14:textId="77777777" w:rsidR="003C6CFE" w:rsidRPr="006673FB" w:rsidRDefault="003C6CFE" w:rsidP="00500A8F">
      <w:pPr>
        <w:pStyle w:val="Corpotesto"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sectPr w:rsidR="003C6CFE" w:rsidRPr="006673FB" w:rsidSect="00F1148F">
      <w:pgSz w:w="12242" w:h="16342"/>
      <w:pgMar w:top="226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925EA4"/>
    <w:multiLevelType w:val="hybridMultilevel"/>
    <w:tmpl w:val="E71A629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73C"/>
    <w:multiLevelType w:val="hybridMultilevel"/>
    <w:tmpl w:val="493E23B0"/>
    <w:lvl w:ilvl="0" w:tplc="58485D16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7F415B3"/>
    <w:multiLevelType w:val="hybridMultilevel"/>
    <w:tmpl w:val="BFA6C1EC"/>
    <w:lvl w:ilvl="0" w:tplc="3B8A9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477"/>
    <w:multiLevelType w:val="multilevel"/>
    <w:tmpl w:val="B6D20464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323F8"/>
    <w:multiLevelType w:val="hybridMultilevel"/>
    <w:tmpl w:val="515CB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50DE"/>
    <w:multiLevelType w:val="hybridMultilevel"/>
    <w:tmpl w:val="4C085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E4173"/>
    <w:multiLevelType w:val="multilevel"/>
    <w:tmpl w:val="B6D20464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15D1C"/>
    <w:multiLevelType w:val="hybridMultilevel"/>
    <w:tmpl w:val="AEE8A2F0"/>
    <w:lvl w:ilvl="0" w:tplc="2D5EC3B6">
      <w:start w:val="1"/>
      <w:numFmt w:val="bullet"/>
      <w:lvlText w:val=""/>
      <w:lvlJc w:val="left"/>
      <w:pPr>
        <w:tabs>
          <w:tab w:val="num" w:pos="870"/>
        </w:tabs>
        <w:ind w:left="10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4F402B6"/>
    <w:multiLevelType w:val="hybridMultilevel"/>
    <w:tmpl w:val="51BE3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09656">
    <w:abstractNumId w:val="2"/>
  </w:num>
  <w:num w:numId="2" w16cid:durableId="928780811">
    <w:abstractNumId w:val="6"/>
  </w:num>
  <w:num w:numId="3" w16cid:durableId="2114090088">
    <w:abstractNumId w:val="5"/>
  </w:num>
  <w:num w:numId="4" w16cid:durableId="1299994402">
    <w:abstractNumId w:val="4"/>
  </w:num>
  <w:num w:numId="5" w16cid:durableId="1920944284">
    <w:abstractNumId w:val="8"/>
  </w:num>
  <w:num w:numId="6" w16cid:durableId="955527189">
    <w:abstractNumId w:val="7"/>
  </w:num>
  <w:num w:numId="7" w16cid:durableId="1923837203">
    <w:abstractNumId w:val="0"/>
  </w:num>
  <w:num w:numId="8" w16cid:durableId="676273586">
    <w:abstractNumId w:val="1"/>
  </w:num>
  <w:num w:numId="9" w16cid:durableId="2039046704">
    <w:abstractNumId w:val="9"/>
  </w:num>
  <w:num w:numId="10" w16cid:durableId="66270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1A"/>
    <w:rsid w:val="00071B59"/>
    <w:rsid w:val="000A33A2"/>
    <w:rsid w:val="000D07A9"/>
    <w:rsid w:val="000D3423"/>
    <w:rsid w:val="00111C1B"/>
    <w:rsid w:val="00133E50"/>
    <w:rsid w:val="002515B0"/>
    <w:rsid w:val="002538C3"/>
    <w:rsid w:val="00265690"/>
    <w:rsid w:val="002877AA"/>
    <w:rsid w:val="00287DFA"/>
    <w:rsid w:val="002D6F9E"/>
    <w:rsid w:val="002E3F28"/>
    <w:rsid w:val="00322129"/>
    <w:rsid w:val="00373C64"/>
    <w:rsid w:val="003C6CFE"/>
    <w:rsid w:val="003F1802"/>
    <w:rsid w:val="0042149A"/>
    <w:rsid w:val="004D0B1A"/>
    <w:rsid w:val="004D639D"/>
    <w:rsid w:val="004F0D10"/>
    <w:rsid w:val="004F46C2"/>
    <w:rsid w:val="00500A8F"/>
    <w:rsid w:val="00510807"/>
    <w:rsid w:val="005146B7"/>
    <w:rsid w:val="00516E6E"/>
    <w:rsid w:val="00561458"/>
    <w:rsid w:val="0057331A"/>
    <w:rsid w:val="005B2A66"/>
    <w:rsid w:val="005C72D6"/>
    <w:rsid w:val="005F0CD1"/>
    <w:rsid w:val="005F682A"/>
    <w:rsid w:val="00603523"/>
    <w:rsid w:val="006673FB"/>
    <w:rsid w:val="0069755E"/>
    <w:rsid w:val="006B3693"/>
    <w:rsid w:val="006F4E73"/>
    <w:rsid w:val="006F7AE4"/>
    <w:rsid w:val="00796667"/>
    <w:rsid w:val="007A7B2D"/>
    <w:rsid w:val="007C0E85"/>
    <w:rsid w:val="007D3CD6"/>
    <w:rsid w:val="007F408B"/>
    <w:rsid w:val="00824DEF"/>
    <w:rsid w:val="0087176B"/>
    <w:rsid w:val="008B2EE4"/>
    <w:rsid w:val="00905232"/>
    <w:rsid w:val="0097389F"/>
    <w:rsid w:val="009D5A57"/>
    <w:rsid w:val="009E5661"/>
    <w:rsid w:val="009F2C57"/>
    <w:rsid w:val="00AB3756"/>
    <w:rsid w:val="00B32B6F"/>
    <w:rsid w:val="00B96F3B"/>
    <w:rsid w:val="00BC1219"/>
    <w:rsid w:val="00BE5036"/>
    <w:rsid w:val="00C80F5E"/>
    <w:rsid w:val="00CE5B63"/>
    <w:rsid w:val="00D2659B"/>
    <w:rsid w:val="00D27AF5"/>
    <w:rsid w:val="00DB0F20"/>
    <w:rsid w:val="00DC154B"/>
    <w:rsid w:val="00DF0A65"/>
    <w:rsid w:val="00DF4B28"/>
    <w:rsid w:val="00E00402"/>
    <w:rsid w:val="00E03721"/>
    <w:rsid w:val="00E066D0"/>
    <w:rsid w:val="00E812A1"/>
    <w:rsid w:val="00ED6C55"/>
    <w:rsid w:val="00F1148F"/>
    <w:rsid w:val="00F213B7"/>
    <w:rsid w:val="00F415EE"/>
    <w:rsid w:val="00F42B89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C0526"/>
  <w15:docId w15:val="{4AC7F7B7-3981-41FF-8152-23C7AC9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219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31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Corpotesto">
    <w:name w:val="Body Text"/>
    <w:basedOn w:val="Normale"/>
    <w:link w:val="CorpotestoCarattere"/>
    <w:uiPriority w:val="99"/>
    <w:rsid w:val="0057331A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213B7"/>
    <w:rPr>
      <w:rFonts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rsid w:val="0057331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796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6667"/>
    <w:rPr>
      <w:rFonts w:ascii="Tahoma" w:hAnsi="Tahoma" w:cs="Tahoma"/>
      <w:sz w:val="16"/>
      <w:szCs w:val="16"/>
      <w:lang w:eastAsia="ja-JP"/>
    </w:rPr>
  </w:style>
  <w:style w:type="character" w:styleId="Rimandocommento">
    <w:name w:val="annotation reference"/>
    <w:basedOn w:val="Carpredefinitoparagrafo"/>
    <w:uiPriority w:val="99"/>
    <w:rsid w:val="0079666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966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796667"/>
    <w:rPr>
      <w:rFonts w:cs="Times New Roman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966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796667"/>
    <w:rPr>
      <w:rFonts w:cs="Times New Roman"/>
      <w:b/>
      <w:bCs/>
      <w:lang w:eastAsia="ja-JP"/>
    </w:rPr>
  </w:style>
  <w:style w:type="paragraph" w:styleId="Paragrafoelenco">
    <w:name w:val="List Paragraph"/>
    <w:basedOn w:val="Normale"/>
    <w:uiPriority w:val="34"/>
    <w:qFormat/>
    <w:rsid w:val="00B96F3B"/>
    <w:pPr>
      <w:suppressAutoHyphens/>
      <w:ind w:left="720"/>
      <w:contextualSpacing/>
    </w:pPr>
    <w:rPr>
      <w:rFonts w:eastAsia="Times New Roman"/>
      <w:lang w:eastAsia="ar-SA"/>
    </w:rPr>
  </w:style>
  <w:style w:type="paragraph" w:styleId="Revisione">
    <w:name w:val="Revision"/>
    <w:hidden/>
    <w:uiPriority w:val="99"/>
    <w:semiHidden/>
    <w:rsid w:val="004D0B1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PER LA CONCESSIONE DI CONTRIBUTI PER CONVEGNI APPROVATE DAL SENATO ACCADEMICO IN DATA 23 MARZO 2010</vt:lpstr>
    </vt:vector>
  </TitlesOfParts>
  <Company>DICMA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LA CONCESSIONE DI CONTRIBUTI PER CONVEGNI APPROVATE DAL SENATO ACCADEMICO IN DATA 23 MARZO 2010</dc:title>
  <dc:creator>Ale</dc:creator>
  <cp:lastModifiedBy>Elisa Franzoni</cp:lastModifiedBy>
  <cp:revision>7</cp:revision>
  <dcterms:created xsi:type="dcterms:W3CDTF">2025-02-05T09:31:00Z</dcterms:created>
  <dcterms:modified xsi:type="dcterms:W3CDTF">2025-02-08T08:12:00Z</dcterms:modified>
</cp:coreProperties>
</file>